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882A7" w14:textId="51C0E4DC" w:rsidR="002555AC" w:rsidRPr="00040A44" w:rsidRDefault="002555AC" w:rsidP="002555AC">
      <w:pPr>
        <w:outlineLvl w:val="0"/>
        <w:rPr>
          <w:b/>
          <w:spacing w:val="-3"/>
          <w:sz w:val="20"/>
          <w:szCs w:val="20"/>
        </w:rPr>
      </w:pPr>
      <w:r w:rsidRPr="00040A44">
        <w:rPr>
          <w:b/>
          <w:spacing w:val="-3"/>
          <w:sz w:val="20"/>
          <w:szCs w:val="20"/>
        </w:rPr>
        <w:t>Village of Rockville Centre</w:t>
      </w:r>
    </w:p>
    <w:p w14:paraId="30E9163D" w14:textId="77777777" w:rsidR="002555AC" w:rsidRPr="00040A44" w:rsidRDefault="002555AC" w:rsidP="002555AC">
      <w:pPr>
        <w:outlineLvl w:val="0"/>
        <w:rPr>
          <w:b/>
          <w:spacing w:val="-3"/>
          <w:sz w:val="20"/>
          <w:szCs w:val="20"/>
        </w:rPr>
      </w:pPr>
      <w:r w:rsidRPr="00040A44">
        <w:rPr>
          <w:b/>
          <w:spacing w:val="-3"/>
          <w:sz w:val="20"/>
          <w:szCs w:val="20"/>
        </w:rPr>
        <w:t>Nassau County, New York</w:t>
      </w:r>
    </w:p>
    <w:p w14:paraId="7906E644" w14:textId="67FE3540"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14:paraId="18BCC32E" w14:textId="348B958A"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6F4753">
        <w:rPr>
          <w:b/>
          <w:spacing w:val="-3"/>
          <w:sz w:val="20"/>
          <w:szCs w:val="20"/>
        </w:rPr>
        <w:t>March 6</w:t>
      </w:r>
      <w:r w:rsidR="006F4753" w:rsidRPr="006F4753">
        <w:rPr>
          <w:b/>
          <w:spacing w:val="-3"/>
          <w:sz w:val="20"/>
          <w:szCs w:val="20"/>
          <w:vertAlign w:val="superscript"/>
        </w:rPr>
        <w:t>th</w:t>
      </w:r>
      <w:r w:rsidR="001242D2">
        <w:rPr>
          <w:b/>
          <w:spacing w:val="-3"/>
          <w:sz w:val="20"/>
          <w:szCs w:val="20"/>
        </w:rPr>
        <w:t>, 2024</w:t>
      </w:r>
    </w:p>
    <w:p w14:paraId="1C987496" w14:textId="77777777" w:rsidR="002555AC" w:rsidRPr="00040A44" w:rsidRDefault="002555AC" w:rsidP="002555AC">
      <w:pPr>
        <w:rPr>
          <w:b/>
          <w:spacing w:val="-3"/>
          <w:sz w:val="20"/>
          <w:szCs w:val="20"/>
        </w:rPr>
      </w:pPr>
    </w:p>
    <w:p w14:paraId="0E1D7079" w14:textId="77777777" w:rsidR="008C4072" w:rsidRDefault="008C4072" w:rsidP="008C4072">
      <w:pPr>
        <w:outlineLvl w:val="0"/>
        <w:rPr>
          <w:b/>
          <w:spacing w:val="-3"/>
          <w:sz w:val="20"/>
          <w:szCs w:val="20"/>
        </w:rPr>
      </w:pPr>
      <w:r>
        <w:rPr>
          <w:b/>
          <w:spacing w:val="-3"/>
          <w:sz w:val="20"/>
          <w:szCs w:val="20"/>
        </w:rPr>
        <w:t>Pursuant to the provisions of Chapter 340</w:t>
      </w:r>
    </w:p>
    <w:p w14:paraId="1A70830A" w14:textId="77777777" w:rsidR="008C4072" w:rsidRDefault="008C4072" w:rsidP="008C4072">
      <w:pPr>
        <w:outlineLvl w:val="0"/>
        <w:rPr>
          <w:b/>
          <w:spacing w:val="-3"/>
          <w:sz w:val="20"/>
          <w:szCs w:val="20"/>
        </w:rPr>
      </w:pPr>
      <w:r>
        <w:rPr>
          <w:b/>
          <w:spacing w:val="-3"/>
          <w:sz w:val="20"/>
          <w:szCs w:val="20"/>
        </w:rPr>
        <w:t>Rockville Centre Village Code NOTICE</w:t>
      </w:r>
    </w:p>
    <w:p w14:paraId="695FC922" w14:textId="77777777" w:rsidR="008C4072" w:rsidRDefault="008C4072" w:rsidP="008C4072">
      <w:pPr>
        <w:outlineLvl w:val="0"/>
        <w:rPr>
          <w:b/>
          <w:spacing w:val="-3"/>
          <w:sz w:val="20"/>
          <w:szCs w:val="20"/>
        </w:rPr>
      </w:pPr>
      <w:r>
        <w:rPr>
          <w:b/>
          <w:spacing w:val="-3"/>
          <w:sz w:val="20"/>
          <w:szCs w:val="20"/>
        </w:rPr>
        <w:t>IS HEREBY GIVEN that the Board of Appeals</w:t>
      </w:r>
    </w:p>
    <w:p w14:paraId="1AB40787" w14:textId="77777777" w:rsidR="008C4072" w:rsidRDefault="008C4072" w:rsidP="008C4072">
      <w:pPr>
        <w:rPr>
          <w:b/>
          <w:spacing w:val="-3"/>
          <w:sz w:val="20"/>
          <w:szCs w:val="20"/>
        </w:rPr>
      </w:pPr>
      <w:r>
        <w:rPr>
          <w:b/>
          <w:spacing w:val="-3"/>
          <w:sz w:val="20"/>
          <w:szCs w:val="20"/>
        </w:rPr>
        <w:t>of the Village of Rockville Centre will hold a</w:t>
      </w:r>
    </w:p>
    <w:p w14:paraId="07918849" w14:textId="34E509A9" w:rsidR="008C4072" w:rsidRDefault="008C4072" w:rsidP="008C4072">
      <w:pPr>
        <w:outlineLvl w:val="0"/>
        <w:rPr>
          <w:b/>
          <w:spacing w:val="-3"/>
          <w:sz w:val="20"/>
          <w:szCs w:val="20"/>
        </w:rPr>
      </w:pPr>
      <w:r>
        <w:rPr>
          <w:b/>
          <w:spacing w:val="-3"/>
          <w:sz w:val="20"/>
          <w:szCs w:val="20"/>
        </w:rPr>
        <w:t xml:space="preserve">Zoning Appeals Hearing at the </w:t>
      </w:r>
      <w:r w:rsidR="006A1593">
        <w:rPr>
          <w:b/>
          <w:spacing w:val="-3"/>
          <w:sz w:val="20"/>
          <w:szCs w:val="20"/>
        </w:rPr>
        <w:t>Eugene J. Murray Village Hall</w:t>
      </w:r>
    </w:p>
    <w:p w14:paraId="7525FB82" w14:textId="50966F33" w:rsidR="008C4072" w:rsidRDefault="006A1593" w:rsidP="008C4072">
      <w:pPr>
        <w:outlineLvl w:val="0"/>
        <w:rPr>
          <w:b/>
          <w:spacing w:val="-3"/>
          <w:sz w:val="20"/>
          <w:szCs w:val="20"/>
        </w:rPr>
      </w:pPr>
      <w:r>
        <w:rPr>
          <w:b/>
          <w:spacing w:val="-3"/>
          <w:sz w:val="20"/>
          <w:szCs w:val="20"/>
        </w:rPr>
        <w:t>1 College Place</w:t>
      </w:r>
      <w:r w:rsidR="008C4072">
        <w:rPr>
          <w:b/>
          <w:spacing w:val="-3"/>
          <w:sz w:val="20"/>
          <w:szCs w:val="20"/>
        </w:rPr>
        <w:t>, Rockville Centre at 7:</w:t>
      </w:r>
      <w:r w:rsidR="002043A5">
        <w:rPr>
          <w:b/>
          <w:spacing w:val="-3"/>
          <w:sz w:val="20"/>
          <w:szCs w:val="20"/>
        </w:rPr>
        <w:t>0</w:t>
      </w:r>
      <w:r w:rsidR="008C4072">
        <w:rPr>
          <w:b/>
          <w:spacing w:val="-3"/>
          <w:sz w:val="20"/>
          <w:szCs w:val="20"/>
        </w:rPr>
        <w:t>0 p.m.</w:t>
      </w:r>
    </w:p>
    <w:p w14:paraId="2D461E0E" w14:textId="77777777" w:rsidR="0094627C" w:rsidRDefault="0094627C" w:rsidP="008C4072">
      <w:pPr>
        <w:outlineLvl w:val="0"/>
        <w:rPr>
          <w:b/>
          <w:spacing w:val="-3"/>
          <w:sz w:val="20"/>
          <w:szCs w:val="20"/>
        </w:rPr>
      </w:pPr>
    </w:p>
    <w:p w14:paraId="1772A158" w14:textId="12208B92" w:rsidR="0013788A" w:rsidRPr="00311C72" w:rsidRDefault="0013788A" w:rsidP="0013788A">
      <w:pPr>
        <w:jc w:val="center"/>
        <w:rPr>
          <w:b/>
          <w:color w:val="000000"/>
          <w:sz w:val="22"/>
          <w:szCs w:val="22"/>
          <w:u w:val="single"/>
        </w:rPr>
      </w:pPr>
      <w:r w:rsidRPr="00311C72">
        <w:rPr>
          <w:b/>
          <w:color w:val="000000"/>
          <w:sz w:val="22"/>
          <w:szCs w:val="22"/>
          <w:u w:val="single"/>
        </w:rPr>
        <w:t>LEGAL NOTICE</w:t>
      </w:r>
    </w:p>
    <w:p w14:paraId="23A47DF8" w14:textId="3FDDD3DD" w:rsidR="0013788A" w:rsidRDefault="006F4753" w:rsidP="0013788A">
      <w:pPr>
        <w:jc w:val="center"/>
        <w:rPr>
          <w:b/>
          <w:color w:val="000000"/>
          <w:sz w:val="22"/>
          <w:szCs w:val="22"/>
          <w:u w:val="single"/>
        </w:rPr>
      </w:pPr>
      <w:r>
        <w:rPr>
          <w:b/>
          <w:color w:val="000000"/>
          <w:sz w:val="22"/>
          <w:szCs w:val="22"/>
          <w:u w:val="single"/>
        </w:rPr>
        <w:t>March 6</w:t>
      </w:r>
      <w:r w:rsidRPr="006F4753">
        <w:rPr>
          <w:b/>
          <w:color w:val="000000"/>
          <w:sz w:val="22"/>
          <w:szCs w:val="22"/>
          <w:u w:val="single"/>
          <w:vertAlign w:val="superscript"/>
        </w:rPr>
        <w:t>th</w:t>
      </w:r>
      <w:r w:rsidR="001242D2">
        <w:rPr>
          <w:b/>
          <w:color w:val="000000"/>
          <w:sz w:val="22"/>
          <w:szCs w:val="22"/>
          <w:u w:val="single"/>
        </w:rPr>
        <w:t xml:space="preserve">, </w:t>
      </w:r>
      <w:proofErr w:type="gramStart"/>
      <w:r w:rsidR="001242D2">
        <w:rPr>
          <w:b/>
          <w:color w:val="000000"/>
          <w:sz w:val="22"/>
          <w:szCs w:val="22"/>
          <w:u w:val="single"/>
        </w:rPr>
        <w:t>2024</w:t>
      </w:r>
      <w:proofErr w:type="gramEnd"/>
      <w:r w:rsidR="0013788A" w:rsidRPr="00311C72">
        <w:rPr>
          <w:b/>
          <w:color w:val="000000"/>
          <w:sz w:val="22"/>
          <w:szCs w:val="22"/>
          <w:u w:val="single"/>
        </w:rPr>
        <w:t xml:space="preserve"> at 7:</w:t>
      </w:r>
      <w:r w:rsidR="00286CEC" w:rsidRPr="00311C72">
        <w:rPr>
          <w:b/>
          <w:color w:val="000000"/>
          <w:sz w:val="22"/>
          <w:szCs w:val="22"/>
          <w:u w:val="single"/>
        </w:rPr>
        <w:t>0</w:t>
      </w:r>
      <w:r w:rsidR="0049214D" w:rsidRPr="00311C72">
        <w:rPr>
          <w:b/>
          <w:color w:val="000000"/>
          <w:sz w:val="22"/>
          <w:szCs w:val="22"/>
          <w:u w:val="single"/>
        </w:rPr>
        <w:t>0</w:t>
      </w:r>
      <w:r w:rsidR="0013788A" w:rsidRPr="00311C72">
        <w:rPr>
          <w:b/>
          <w:color w:val="000000"/>
          <w:sz w:val="22"/>
          <w:szCs w:val="22"/>
          <w:u w:val="single"/>
        </w:rPr>
        <w:t xml:space="preserve"> PM</w:t>
      </w:r>
    </w:p>
    <w:p w14:paraId="72B377C8" w14:textId="6A072E89" w:rsidR="003822B9" w:rsidRDefault="003822B9" w:rsidP="0013788A">
      <w:pPr>
        <w:jc w:val="center"/>
        <w:rPr>
          <w:b/>
          <w:color w:val="000000"/>
          <w:sz w:val="22"/>
          <w:szCs w:val="22"/>
          <w:u w:val="single"/>
        </w:rPr>
      </w:pPr>
    </w:p>
    <w:p w14:paraId="683B17C0" w14:textId="317BA3EE"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 xml:space="preserve">Case # </w:t>
      </w:r>
      <w:r w:rsidR="006F4753">
        <w:rPr>
          <w:b/>
          <w:bCs/>
          <w:color w:val="000000"/>
          <w:sz w:val="20"/>
          <w:szCs w:val="20"/>
          <w:u w:val="single"/>
          <w:bdr w:val="none" w:sz="0" w:space="0" w:color="auto" w:frame="1"/>
        </w:rPr>
        <w:t>10</w:t>
      </w:r>
      <w:r w:rsidRPr="00893D1C">
        <w:rPr>
          <w:b/>
          <w:bCs/>
          <w:color w:val="000000"/>
          <w:sz w:val="20"/>
          <w:szCs w:val="20"/>
          <w:u w:val="single"/>
          <w:bdr w:val="none" w:sz="0" w:space="0" w:color="auto" w:frame="1"/>
        </w:rPr>
        <w:t>-2024</w:t>
      </w:r>
      <w:r w:rsidR="00647230" w:rsidRPr="00893D1C">
        <w:rPr>
          <w:b/>
          <w:bCs/>
          <w:color w:val="000000"/>
          <w:sz w:val="20"/>
          <w:szCs w:val="20"/>
          <w:u w:val="single"/>
          <w:bdr w:val="none" w:sz="0" w:space="0" w:color="auto" w:frame="1"/>
        </w:rPr>
        <w:t xml:space="preserve"> - </w:t>
      </w:r>
      <w:r w:rsidR="007601A0" w:rsidRPr="007601A0">
        <w:rPr>
          <w:b/>
          <w:bCs/>
          <w:color w:val="000000"/>
          <w:sz w:val="20"/>
          <w:szCs w:val="20"/>
          <w:u w:val="single"/>
          <w:bdr w:val="none" w:sz="0" w:space="0" w:color="auto" w:frame="1"/>
        </w:rPr>
        <w:t>Michael Cove &amp; Christine Alagia</w:t>
      </w:r>
    </w:p>
    <w:p w14:paraId="6EB18F78" w14:textId="77777777" w:rsidR="007601A0" w:rsidRDefault="007601A0" w:rsidP="001242D2">
      <w:pPr>
        <w:pStyle w:val="xmsonormal"/>
        <w:shd w:val="clear" w:color="auto" w:fill="FFFFFF"/>
        <w:spacing w:before="0" w:beforeAutospacing="0" w:after="0" w:afterAutospacing="0"/>
        <w:rPr>
          <w:color w:val="000000"/>
          <w:sz w:val="20"/>
          <w:szCs w:val="20"/>
          <w:bdr w:val="none" w:sz="0" w:space="0" w:color="auto" w:frame="1"/>
        </w:rPr>
      </w:pPr>
      <w:r w:rsidRPr="007601A0">
        <w:rPr>
          <w:color w:val="000000"/>
          <w:sz w:val="20"/>
          <w:szCs w:val="20"/>
          <w:bdr w:val="none" w:sz="0" w:space="0" w:color="auto" w:frame="1"/>
        </w:rPr>
        <w:t>To construct a rear one-story addition, a rear two-story addition, and front portico with a proposed front yard setback of 25.2 feet where the average front yard setback is 25.6 feet and is the minimum required, side yard setbacks of 6.0 feet and 6.67 feet where 8.0 feet is the minimum required within a Residence A district.</w:t>
      </w:r>
    </w:p>
    <w:p w14:paraId="1F1EBCB1" w14:textId="3CC86403" w:rsidR="005C1A3A" w:rsidRPr="00893D1C" w:rsidRDefault="005C1A3A" w:rsidP="001242D2">
      <w:pPr>
        <w:pStyle w:val="xmsonormal"/>
        <w:shd w:val="clear" w:color="auto" w:fill="FFFFFF"/>
        <w:spacing w:before="0" w:beforeAutospacing="0" w:after="0" w:afterAutospacing="0"/>
        <w:rPr>
          <w:b/>
          <w:bCs/>
          <w:color w:val="000000"/>
          <w:sz w:val="20"/>
          <w:szCs w:val="20"/>
          <w:u w:val="single"/>
          <w:bdr w:val="none" w:sz="0" w:space="0" w:color="auto" w:frame="1"/>
        </w:rPr>
      </w:pPr>
      <w:r w:rsidRPr="00893D1C">
        <w:rPr>
          <w:b/>
          <w:sz w:val="20"/>
          <w:szCs w:val="20"/>
          <w:u w:val="single"/>
        </w:rPr>
        <w:t xml:space="preserve">Premises known as </w:t>
      </w:r>
      <w:r w:rsidR="006F4753">
        <w:rPr>
          <w:b/>
          <w:bCs/>
          <w:color w:val="000000"/>
          <w:sz w:val="20"/>
          <w:szCs w:val="20"/>
          <w:u w:val="single"/>
          <w:bdr w:val="none" w:sz="0" w:space="0" w:color="auto" w:frame="1"/>
        </w:rPr>
        <w:t>33 Rodney Place</w:t>
      </w:r>
    </w:p>
    <w:p w14:paraId="4C357FBA" w14:textId="034C3F22"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color w:val="000000"/>
          <w:sz w:val="20"/>
          <w:szCs w:val="20"/>
          <w:bdr w:val="none" w:sz="0" w:space="0" w:color="auto" w:frame="1"/>
        </w:rPr>
        <w:t> </w:t>
      </w:r>
    </w:p>
    <w:p w14:paraId="3B71D644" w14:textId="00651B62"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 xml:space="preserve">Case # </w:t>
      </w:r>
      <w:r w:rsidR="006F4753">
        <w:rPr>
          <w:b/>
          <w:bCs/>
          <w:color w:val="000000"/>
          <w:sz w:val="20"/>
          <w:szCs w:val="20"/>
          <w:u w:val="single"/>
          <w:bdr w:val="none" w:sz="0" w:space="0" w:color="auto" w:frame="1"/>
        </w:rPr>
        <w:t>11</w:t>
      </w:r>
      <w:r w:rsidRPr="00893D1C">
        <w:rPr>
          <w:b/>
          <w:bCs/>
          <w:color w:val="000000"/>
          <w:sz w:val="20"/>
          <w:szCs w:val="20"/>
          <w:u w:val="single"/>
          <w:bdr w:val="none" w:sz="0" w:space="0" w:color="auto" w:frame="1"/>
        </w:rPr>
        <w:t>-2024</w:t>
      </w:r>
      <w:r w:rsidR="00647230" w:rsidRPr="00893D1C">
        <w:rPr>
          <w:b/>
          <w:bCs/>
          <w:color w:val="000000"/>
          <w:sz w:val="20"/>
          <w:szCs w:val="20"/>
          <w:u w:val="single"/>
          <w:bdr w:val="none" w:sz="0" w:space="0" w:color="auto" w:frame="1"/>
        </w:rPr>
        <w:t xml:space="preserve"> </w:t>
      </w:r>
      <w:proofErr w:type="gramStart"/>
      <w:r w:rsidR="00647230" w:rsidRPr="00893D1C">
        <w:rPr>
          <w:b/>
          <w:bCs/>
          <w:color w:val="000000"/>
          <w:sz w:val="20"/>
          <w:szCs w:val="20"/>
          <w:u w:val="single"/>
          <w:bdr w:val="none" w:sz="0" w:space="0" w:color="auto" w:frame="1"/>
        </w:rPr>
        <w:t xml:space="preserve">- </w:t>
      </w:r>
      <w:r w:rsidRPr="00893D1C">
        <w:rPr>
          <w:b/>
          <w:bCs/>
          <w:color w:val="000000"/>
          <w:sz w:val="20"/>
          <w:szCs w:val="20"/>
          <w:u w:val="single"/>
          <w:bdr w:val="none" w:sz="0" w:space="0" w:color="auto" w:frame="1"/>
        </w:rPr>
        <w:t xml:space="preserve"> </w:t>
      </w:r>
      <w:r w:rsidR="007601A0" w:rsidRPr="007601A0">
        <w:rPr>
          <w:b/>
          <w:bCs/>
          <w:color w:val="000000"/>
          <w:sz w:val="20"/>
          <w:szCs w:val="20"/>
          <w:u w:val="single"/>
          <w:bdr w:val="none" w:sz="0" w:space="0" w:color="auto" w:frame="1"/>
        </w:rPr>
        <w:t>Brent</w:t>
      </w:r>
      <w:proofErr w:type="gramEnd"/>
      <w:r w:rsidR="007601A0" w:rsidRPr="007601A0">
        <w:rPr>
          <w:b/>
          <w:bCs/>
          <w:color w:val="000000"/>
          <w:sz w:val="20"/>
          <w:szCs w:val="20"/>
          <w:u w:val="single"/>
          <w:bdr w:val="none" w:sz="0" w:space="0" w:color="auto" w:frame="1"/>
        </w:rPr>
        <w:t xml:space="preserve"> &amp; Amanda Tarazi</w:t>
      </w:r>
    </w:p>
    <w:p w14:paraId="0C678897" w14:textId="77777777" w:rsidR="007601A0" w:rsidRDefault="007601A0" w:rsidP="005C1A3A">
      <w:pPr>
        <w:pStyle w:val="xmsonormal"/>
        <w:shd w:val="clear" w:color="auto" w:fill="FFFFFF"/>
        <w:spacing w:before="0" w:beforeAutospacing="0" w:after="0" w:afterAutospacing="0"/>
        <w:rPr>
          <w:color w:val="000000"/>
          <w:sz w:val="20"/>
          <w:szCs w:val="20"/>
          <w:bdr w:val="none" w:sz="0" w:space="0" w:color="auto" w:frame="1"/>
        </w:rPr>
      </w:pPr>
      <w:r w:rsidRPr="007601A0">
        <w:rPr>
          <w:color w:val="000000"/>
          <w:sz w:val="20"/>
          <w:szCs w:val="20"/>
          <w:bdr w:val="none" w:sz="0" w:space="0" w:color="auto" w:frame="1"/>
        </w:rPr>
        <w:t>To convert part of an attached garage, and a rear second story addition over existing first story with a proposed side yard setback of 5.7 feet where 8.0 feet is the minimum required, and a rear yard setback to the second story addition of 20.58 feet where 25.0 feet is the minimum required within a Residence A district.</w:t>
      </w:r>
    </w:p>
    <w:p w14:paraId="709ECEC8" w14:textId="1D4C1FAA" w:rsidR="005C1A3A" w:rsidRDefault="005C1A3A" w:rsidP="005C1A3A">
      <w:pPr>
        <w:pStyle w:val="xmsonormal"/>
        <w:shd w:val="clear" w:color="auto" w:fill="FFFFFF"/>
        <w:spacing w:before="0" w:beforeAutospacing="0" w:after="0" w:afterAutospacing="0"/>
        <w:rPr>
          <w:b/>
          <w:bCs/>
          <w:color w:val="000000"/>
          <w:sz w:val="20"/>
          <w:szCs w:val="20"/>
          <w:u w:val="single"/>
          <w:bdr w:val="none" w:sz="0" w:space="0" w:color="auto" w:frame="1"/>
        </w:rPr>
      </w:pPr>
      <w:r w:rsidRPr="00893D1C">
        <w:rPr>
          <w:b/>
          <w:sz w:val="20"/>
          <w:szCs w:val="20"/>
          <w:u w:val="single"/>
        </w:rPr>
        <w:t xml:space="preserve">Premises known as </w:t>
      </w:r>
      <w:r w:rsidR="006F4753">
        <w:rPr>
          <w:b/>
          <w:bCs/>
          <w:color w:val="000000"/>
          <w:sz w:val="20"/>
          <w:szCs w:val="20"/>
          <w:u w:val="single"/>
          <w:bdr w:val="none" w:sz="0" w:space="0" w:color="auto" w:frame="1"/>
        </w:rPr>
        <w:t>22 Blenheim Court</w:t>
      </w:r>
    </w:p>
    <w:p w14:paraId="5165CA2D" w14:textId="77777777" w:rsidR="006F4753" w:rsidRDefault="006F4753" w:rsidP="005C1A3A">
      <w:pPr>
        <w:pStyle w:val="xmsonormal"/>
        <w:shd w:val="clear" w:color="auto" w:fill="FFFFFF"/>
        <w:spacing w:before="0" w:beforeAutospacing="0" w:after="0" w:afterAutospacing="0"/>
        <w:rPr>
          <w:b/>
          <w:bCs/>
          <w:color w:val="000000"/>
          <w:sz w:val="20"/>
          <w:szCs w:val="20"/>
          <w:u w:val="single"/>
          <w:bdr w:val="none" w:sz="0" w:space="0" w:color="auto" w:frame="1"/>
        </w:rPr>
      </w:pPr>
    </w:p>
    <w:p w14:paraId="5EEBBCCD" w14:textId="77777777" w:rsidR="006F4753" w:rsidRPr="00893D1C" w:rsidRDefault="006F4753" w:rsidP="006F4753">
      <w:pPr>
        <w:rPr>
          <w:b/>
          <w:sz w:val="20"/>
          <w:szCs w:val="20"/>
          <w:u w:val="single"/>
        </w:rPr>
      </w:pPr>
      <w:r w:rsidRPr="00893D1C">
        <w:rPr>
          <w:b/>
          <w:sz w:val="20"/>
          <w:szCs w:val="20"/>
          <w:u w:val="single"/>
        </w:rPr>
        <w:t xml:space="preserve">Case # </w:t>
      </w:r>
      <w:r>
        <w:rPr>
          <w:b/>
          <w:sz w:val="20"/>
          <w:szCs w:val="20"/>
          <w:u w:val="single"/>
        </w:rPr>
        <w:t>12</w:t>
      </w:r>
      <w:r w:rsidRPr="00893D1C">
        <w:rPr>
          <w:b/>
          <w:sz w:val="20"/>
          <w:szCs w:val="20"/>
          <w:u w:val="single"/>
        </w:rPr>
        <w:t>-20</w:t>
      </w:r>
      <w:r>
        <w:rPr>
          <w:b/>
          <w:sz w:val="20"/>
          <w:szCs w:val="20"/>
          <w:u w:val="single"/>
        </w:rPr>
        <w:t>24</w:t>
      </w:r>
      <w:r w:rsidRPr="00893D1C">
        <w:rPr>
          <w:b/>
          <w:sz w:val="20"/>
          <w:szCs w:val="20"/>
          <w:u w:val="single"/>
        </w:rPr>
        <w:t xml:space="preserve"> – </w:t>
      </w:r>
      <w:proofErr w:type="spellStart"/>
      <w:r>
        <w:rPr>
          <w:b/>
          <w:bCs/>
          <w:sz w:val="20"/>
          <w:szCs w:val="20"/>
          <w:u w:val="single"/>
        </w:rPr>
        <w:t>Reiffman</w:t>
      </w:r>
      <w:proofErr w:type="spellEnd"/>
      <w:r>
        <w:rPr>
          <w:b/>
          <w:bCs/>
          <w:sz w:val="20"/>
          <w:szCs w:val="20"/>
          <w:u w:val="single"/>
        </w:rPr>
        <w:t xml:space="preserve"> Holdings</w:t>
      </w:r>
      <w:r w:rsidRPr="00893D1C">
        <w:rPr>
          <w:b/>
          <w:bCs/>
          <w:sz w:val="20"/>
          <w:szCs w:val="20"/>
          <w:u w:val="single"/>
        </w:rPr>
        <w:t xml:space="preserve"> LLC</w:t>
      </w:r>
    </w:p>
    <w:p w14:paraId="52FD2781" w14:textId="77777777" w:rsidR="006F4753" w:rsidRDefault="006F4753" w:rsidP="006F4753">
      <w:pPr>
        <w:rPr>
          <w:bCs/>
          <w:sz w:val="20"/>
          <w:szCs w:val="20"/>
        </w:rPr>
      </w:pPr>
      <w:r w:rsidRPr="006F4753">
        <w:rPr>
          <w:bCs/>
          <w:sz w:val="20"/>
          <w:szCs w:val="20"/>
        </w:rPr>
        <w:t xml:space="preserve">To construct a professional medical building, within a “Business A District” which requires three hundred sixty-eight (368) parking spaces where 81 conforming parking spaces and seventy-six (76) non-conforming spaces are provided is subject to a Substantial Occupancy Permit from the Board of Appeals. </w:t>
      </w:r>
    </w:p>
    <w:p w14:paraId="4A2A4A51" w14:textId="568F5001" w:rsidR="006F4753" w:rsidRPr="00893D1C" w:rsidRDefault="006F4753" w:rsidP="006F4753">
      <w:pPr>
        <w:rPr>
          <w:b/>
          <w:sz w:val="20"/>
          <w:szCs w:val="20"/>
          <w:u w:val="single"/>
        </w:rPr>
      </w:pPr>
      <w:r w:rsidRPr="00893D1C">
        <w:rPr>
          <w:b/>
          <w:sz w:val="20"/>
          <w:szCs w:val="20"/>
          <w:u w:val="single"/>
        </w:rPr>
        <w:t xml:space="preserve">Premises known as </w:t>
      </w:r>
      <w:r>
        <w:rPr>
          <w:b/>
          <w:sz w:val="20"/>
          <w:szCs w:val="20"/>
          <w:u w:val="single"/>
        </w:rPr>
        <w:t>486, 490, &amp; 500 Sunrise Highway</w:t>
      </w:r>
    </w:p>
    <w:p w14:paraId="58B0B3A0" w14:textId="176FB370" w:rsidR="005C1A3A" w:rsidRPr="00893D1C" w:rsidRDefault="005C1A3A" w:rsidP="001242D2">
      <w:pPr>
        <w:pStyle w:val="xmsonormal"/>
        <w:shd w:val="clear" w:color="auto" w:fill="FFFFFF"/>
        <w:spacing w:before="0" w:beforeAutospacing="0" w:after="0" w:afterAutospacing="0"/>
        <w:rPr>
          <w:color w:val="000000"/>
          <w:sz w:val="20"/>
          <w:szCs w:val="20"/>
        </w:rPr>
      </w:pPr>
    </w:p>
    <w:p w14:paraId="7BB1E105" w14:textId="29B96E87" w:rsidR="001242D2" w:rsidRPr="00893D1C" w:rsidRDefault="001242D2" w:rsidP="001242D2">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Case #</w:t>
      </w:r>
      <w:r w:rsidR="00FC0121">
        <w:rPr>
          <w:b/>
          <w:bCs/>
          <w:color w:val="000000"/>
          <w:sz w:val="20"/>
          <w:szCs w:val="20"/>
          <w:u w:val="single"/>
          <w:bdr w:val="none" w:sz="0" w:space="0" w:color="auto" w:frame="1"/>
        </w:rPr>
        <w:t xml:space="preserve"> </w:t>
      </w:r>
      <w:r w:rsidR="006F4753">
        <w:rPr>
          <w:b/>
          <w:bCs/>
          <w:color w:val="000000"/>
          <w:sz w:val="20"/>
          <w:szCs w:val="20"/>
          <w:u w:val="single"/>
          <w:bdr w:val="none" w:sz="0" w:space="0" w:color="auto" w:frame="1"/>
        </w:rPr>
        <w:t>13</w:t>
      </w:r>
      <w:r w:rsidRPr="00893D1C">
        <w:rPr>
          <w:b/>
          <w:bCs/>
          <w:color w:val="000000"/>
          <w:sz w:val="20"/>
          <w:szCs w:val="20"/>
          <w:u w:val="single"/>
          <w:bdr w:val="none" w:sz="0" w:space="0" w:color="auto" w:frame="1"/>
        </w:rPr>
        <w:t xml:space="preserve">-2024 </w:t>
      </w:r>
      <w:r w:rsidR="00647230" w:rsidRPr="00893D1C">
        <w:rPr>
          <w:b/>
          <w:bCs/>
          <w:color w:val="000000"/>
          <w:sz w:val="20"/>
          <w:szCs w:val="20"/>
          <w:u w:val="single"/>
          <w:bdr w:val="none" w:sz="0" w:space="0" w:color="auto" w:frame="1"/>
        </w:rPr>
        <w:t xml:space="preserve">- </w:t>
      </w:r>
      <w:r w:rsidR="007601A0" w:rsidRPr="007601A0">
        <w:rPr>
          <w:b/>
          <w:bCs/>
          <w:color w:val="000000"/>
          <w:sz w:val="20"/>
          <w:szCs w:val="20"/>
          <w:u w:val="single"/>
          <w:bdr w:val="none" w:sz="0" w:space="0" w:color="auto" w:frame="1"/>
        </w:rPr>
        <w:t>Adam Lacku</w:t>
      </w:r>
    </w:p>
    <w:p w14:paraId="37BF1481" w14:textId="77777777" w:rsidR="007601A0" w:rsidRDefault="007601A0" w:rsidP="005C1A3A">
      <w:pPr>
        <w:pStyle w:val="xmsonormal"/>
        <w:shd w:val="clear" w:color="auto" w:fill="FFFFFF"/>
        <w:spacing w:before="0" w:beforeAutospacing="0" w:after="0" w:afterAutospacing="0"/>
        <w:rPr>
          <w:color w:val="000000"/>
          <w:sz w:val="20"/>
          <w:szCs w:val="20"/>
          <w:bdr w:val="none" w:sz="0" w:space="0" w:color="auto" w:frame="1"/>
        </w:rPr>
      </w:pPr>
      <w:r w:rsidRPr="007601A0">
        <w:rPr>
          <w:color w:val="000000"/>
          <w:sz w:val="20"/>
          <w:szCs w:val="20"/>
          <w:bdr w:val="none" w:sz="0" w:space="0" w:color="auto" w:frame="1"/>
        </w:rPr>
        <w:t>To construct a 12’ x 24’ in-ground pool not wholly located within the rear third or quadrant of the lot, and with a setback of 7.5 feet on the shortest street frontage where 25.0 feet is the required setback within a Residence A district.</w:t>
      </w:r>
    </w:p>
    <w:p w14:paraId="31AF1B75" w14:textId="6FB96E08" w:rsidR="005C1A3A" w:rsidRDefault="005C1A3A" w:rsidP="005C1A3A">
      <w:pPr>
        <w:pStyle w:val="xmsonormal"/>
        <w:shd w:val="clear" w:color="auto" w:fill="FFFFFF"/>
        <w:spacing w:before="0" w:beforeAutospacing="0" w:after="0" w:afterAutospacing="0"/>
        <w:rPr>
          <w:b/>
          <w:bCs/>
          <w:color w:val="000000"/>
          <w:sz w:val="20"/>
          <w:szCs w:val="20"/>
          <w:u w:val="single"/>
          <w:bdr w:val="none" w:sz="0" w:space="0" w:color="auto" w:frame="1"/>
        </w:rPr>
      </w:pPr>
      <w:r w:rsidRPr="00893D1C">
        <w:rPr>
          <w:b/>
          <w:sz w:val="20"/>
          <w:szCs w:val="20"/>
          <w:u w:val="single"/>
        </w:rPr>
        <w:t xml:space="preserve">Premises known as </w:t>
      </w:r>
      <w:r w:rsidR="006F4753">
        <w:rPr>
          <w:b/>
          <w:bCs/>
          <w:color w:val="000000"/>
          <w:sz w:val="20"/>
          <w:szCs w:val="20"/>
          <w:u w:val="single"/>
          <w:bdr w:val="none" w:sz="0" w:space="0" w:color="auto" w:frame="1"/>
        </w:rPr>
        <w:t>56 Devon Road</w:t>
      </w:r>
    </w:p>
    <w:p w14:paraId="5C833E4C" w14:textId="77777777" w:rsidR="002528CF" w:rsidRDefault="002528CF" w:rsidP="005C1A3A">
      <w:pPr>
        <w:pStyle w:val="xmsonormal"/>
        <w:shd w:val="clear" w:color="auto" w:fill="FFFFFF"/>
        <w:spacing w:before="0" w:beforeAutospacing="0" w:after="0" w:afterAutospacing="0"/>
        <w:rPr>
          <w:b/>
          <w:bCs/>
          <w:color w:val="000000"/>
          <w:sz w:val="20"/>
          <w:szCs w:val="20"/>
          <w:u w:val="single"/>
          <w:bdr w:val="none" w:sz="0" w:space="0" w:color="auto" w:frame="1"/>
        </w:rPr>
      </w:pPr>
    </w:p>
    <w:p w14:paraId="57C56B7E" w14:textId="5DC2BCA4" w:rsidR="002528CF" w:rsidRPr="00893D1C" w:rsidRDefault="002528CF" w:rsidP="002528CF">
      <w:pPr>
        <w:pStyle w:val="xmsonormal"/>
        <w:shd w:val="clear" w:color="auto" w:fill="FFFFFF"/>
        <w:spacing w:before="0" w:beforeAutospacing="0" w:after="0" w:afterAutospacing="0"/>
        <w:rPr>
          <w:color w:val="000000"/>
          <w:sz w:val="20"/>
          <w:szCs w:val="20"/>
        </w:rPr>
      </w:pPr>
      <w:r w:rsidRPr="00893D1C">
        <w:rPr>
          <w:b/>
          <w:bCs/>
          <w:color w:val="000000"/>
          <w:sz w:val="20"/>
          <w:szCs w:val="20"/>
          <w:u w:val="single"/>
          <w:bdr w:val="none" w:sz="0" w:space="0" w:color="auto" w:frame="1"/>
        </w:rPr>
        <w:t>Case #</w:t>
      </w:r>
      <w:r>
        <w:rPr>
          <w:b/>
          <w:bCs/>
          <w:color w:val="000000"/>
          <w:sz w:val="20"/>
          <w:szCs w:val="20"/>
          <w:u w:val="single"/>
          <w:bdr w:val="none" w:sz="0" w:space="0" w:color="auto" w:frame="1"/>
        </w:rPr>
        <w:t xml:space="preserve"> 1</w:t>
      </w:r>
      <w:r>
        <w:rPr>
          <w:b/>
          <w:bCs/>
          <w:color w:val="000000"/>
          <w:sz w:val="20"/>
          <w:szCs w:val="20"/>
          <w:u w:val="single"/>
          <w:bdr w:val="none" w:sz="0" w:space="0" w:color="auto" w:frame="1"/>
        </w:rPr>
        <w:t>5</w:t>
      </w:r>
      <w:r w:rsidRPr="00893D1C">
        <w:rPr>
          <w:b/>
          <w:bCs/>
          <w:color w:val="000000"/>
          <w:sz w:val="20"/>
          <w:szCs w:val="20"/>
          <w:u w:val="single"/>
          <w:bdr w:val="none" w:sz="0" w:space="0" w:color="auto" w:frame="1"/>
        </w:rPr>
        <w:t xml:space="preserve">-2024 </w:t>
      </w:r>
      <w:r>
        <w:rPr>
          <w:b/>
          <w:bCs/>
          <w:color w:val="000000"/>
          <w:sz w:val="20"/>
          <w:szCs w:val="20"/>
          <w:u w:val="single"/>
          <w:bdr w:val="none" w:sz="0" w:space="0" w:color="auto" w:frame="1"/>
        </w:rPr>
        <w:t>–</w:t>
      </w:r>
      <w:r w:rsidRPr="00893D1C">
        <w:rPr>
          <w:b/>
          <w:bCs/>
          <w:color w:val="000000"/>
          <w:sz w:val="20"/>
          <w:szCs w:val="20"/>
          <w:u w:val="single"/>
          <w:bdr w:val="none" w:sz="0" w:space="0" w:color="auto" w:frame="1"/>
        </w:rPr>
        <w:t xml:space="preserve"> </w:t>
      </w:r>
      <w:r>
        <w:rPr>
          <w:b/>
          <w:bCs/>
          <w:color w:val="000000"/>
          <w:sz w:val="20"/>
          <w:szCs w:val="20"/>
          <w:u w:val="single"/>
          <w:bdr w:val="none" w:sz="0" w:space="0" w:color="auto" w:frame="1"/>
        </w:rPr>
        <w:t>CJV Properties</w:t>
      </w:r>
    </w:p>
    <w:p w14:paraId="6562DD56" w14:textId="77777777" w:rsidR="002528CF" w:rsidRDefault="002528CF" w:rsidP="002528CF">
      <w:pPr>
        <w:pStyle w:val="xmsonormal"/>
        <w:shd w:val="clear" w:color="auto" w:fill="FFFFFF"/>
        <w:spacing w:before="0" w:beforeAutospacing="0" w:after="0" w:afterAutospacing="0"/>
        <w:rPr>
          <w:color w:val="000000"/>
          <w:sz w:val="20"/>
          <w:szCs w:val="20"/>
          <w:bdr w:val="none" w:sz="0" w:space="0" w:color="auto" w:frame="1"/>
        </w:rPr>
      </w:pPr>
      <w:r w:rsidRPr="002528CF">
        <w:rPr>
          <w:color w:val="000000"/>
          <w:sz w:val="20"/>
          <w:szCs w:val="20"/>
          <w:bdr w:val="none" w:sz="0" w:space="0" w:color="auto" w:frame="1"/>
        </w:rPr>
        <w:t>To alter and convert a 2519 SF Retail use to Restaurant, in a “Business A-1” district which requires twenty-six (26) parking spaces where zero (0) are provided, is denied and is subject to a Substantial Occupancy from the Board of Appeals.</w:t>
      </w:r>
    </w:p>
    <w:p w14:paraId="2CDFEE84" w14:textId="7BD2E9DE" w:rsidR="002528CF" w:rsidRPr="00893D1C" w:rsidRDefault="002528CF" w:rsidP="002528CF">
      <w:pPr>
        <w:pStyle w:val="xmsonormal"/>
        <w:shd w:val="clear" w:color="auto" w:fill="FFFFFF"/>
        <w:spacing w:before="0" w:beforeAutospacing="0" w:after="0" w:afterAutospacing="0"/>
        <w:rPr>
          <w:color w:val="000000"/>
          <w:sz w:val="20"/>
          <w:szCs w:val="20"/>
        </w:rPr>
      </w:pPr>
      <w:r w:rsidRPr="00893D1C">
        <w:rPr>
          <w:b/>
          <w:sz w:val="20"/>
          <w:szCs w:val="20"/>
          <w:u w:val="single"/>
        </w:rPr>
        <w:t xml:space="preserve">Premises known as </w:t>
      </w:r>
      <w:r>
        <w:rPr>
          <w:b/>
          <w:bCs/>
          <w:color w:val="000000"/>
          <w:sz w:val="20"/>
          <w:szCs w:val="20"/>
          <w:u w:val="single"/>
          <w:bdr w:val="none" w:sz="0" w:space="0" w:color="auto" w:frame="1"/>
        </w:rPr>
        <w:t>106 South Long Beach Road</w:t>
      </w:r>
    </w:p>
    <w:p w14:paraId="58108A53" w14:textId="77777777" w:rsidR="002528CF" w:rsidRPr="00893D1C" w:rsidRDefault="002528CF" w:rsidP="005C1A3A">
      <w:pPr>
        <w:pStyle w:val="xmsonormal"/>
        <w:shd w:val="clear" w:color="auto" w:fill="FFFFFF"/>
        <w:spacing w:before="0" w:beforeAutospacing="0" w:after="0" w:afterAutospacing="0"/>
        <w:rPr>
          <w:color w:val="000000"/>
          <w:sz w:val="20"/>
          <w:szCs w:val="20"/>
        </w:rPr>
      </w:pPr>
    </w:p>
    <w:p w14:paraId="70E94E3D" w14:textId="77777777" w:rsidR="002528CF" w:rsidRDefault="002528CF" w:rsidP="002555AC">
      <w:pPr>
        <w:ind w:left="-2060" w:firstLine="2060"/>
        <w:outlineLvl w:val="0"/>
        <w:rPr>
          <w:b/>
          <w:spacing w:val="-3"/>
          <w:sz w:val="16"/>
          <w:szCs w:val="16"/>
        </w:rPr>
      </w:pPr>
    </w:p>
    <w:p w14:paraId="55CB32BC" w14:textId="40E6CA3D" w:rsidR="002555AC" w:rsidRPr="00086471" w:rsidRDefault="00362638" w:rsidP="002555AC">
      <w:pPr>
        <w:ind w:left="-2060" w:firstLine="2060"/>
        <w:outlineLvl w:val="0"/>
        <w:rPr>
          <w:b/>
          <w:spacing w:val="-3"/>
          <w:sz w:val="16"/>
          <w:szCs w:val="16"/>
        </w:rPr>
      </w:pPr>
      <w:r w:rsidRPr="00086471">
        <w:rPr>
          <w:b/>
          <w:spacing w:val="-3"/>
          <w:sz w:val="16"/>
          <w:szCs w:val="16"/>
        </w:rPr>
        <w:t>Dated:</w:t>
      </w:r>
      <w:r w:rsidR="00505649">
        <w:rPr>
          <w:b/>
          <w:spacing w:val="-3"/>
          <w:sz w:val="16"/>
          <w:szCs w:val="16"/>
        </w:rPr>
        <w:t xml:space="preserve"> </w:t>
      </w:r>
      <w:r w:rsidR="002528CF">
        <w:rPr>
          <w:b/>
          <w:spacing w:val="-3"/>
          <w:sz w:val="16"/>
          <w:szCs w:val="16"/>
        </w:rPr>
        <w:t>February 23</w:t>
      </w:r>
      <w:r w:rsidR="008F60F8">
        <w:rPr>
          <w:b/>
          <w:spacing w:val="-3"/>
          <w:sz w:val="16"/>
          <w:szCs w:val="16"/>
        </w:rPr>
        <w:t>, 202</w:t>
      </w:r>
      <w:r w:rsidR="00893D1C">
        <w:rPr>
          <w:b/>
          <w:spacing w:val="-3"/>
          <w:sz w:val="16"/>
          <w:szCs w:val="16"/>
        </w:rPr>
        <w:t>4</w:t>
      </w:r>
    </w:p>
    <w:p w14:paraId="6F664BDB" w14:textId="77777777" w:rsidR="002555AC" w:rsidRPr="00086471" w:rsidRDefault="002555AC" w:rsidP="002555AC">
      <w:pPr>
        <w:outlineLvl w:val="0"/>
        <w:rPr>
          <w:b/>
          <w:spacing w:val="-3"/>
          <w:sz w:val="16"/>
          <w:szCs w:val="16"/>
        </w:rPr>
      </w:pPr>
      <w:r w:rsidRPr="00086471">
        <w:rPr>
          <w:b/>
          <w:spacing w:val="-3"/>
          <w:sz w:val="16"/>
          <w:szCs w:val="16"/>
        </w:rPr>
        <w:t>BOARD OF APPEALS OF THE VILLAGE OF</w:t>
      </w:r>
    </w:p>
    <w:p w14:paraId="42791089" w14:textId="77777777" w:rsidR="002555AC" w:rsidRPr="00086471" w:rsidRDefault="002555AC" w:rsidP="002555AC">
      <w:pPr>
        <w:outlineLvl w:val="0"/>
        <w:rPr>
          <w:b/>
          <w:spacing w:val="-3"/>
          <w:sz w:val="16"/>
          <w:szCs w:val="16"/>
          <w:lang w:val="fr-FR"/>
        </w:rPr>
      </w:pPr>
      <w:r w:rsidRPr="00086471">
        <w:rPr>
          <w:b/>
          <w:spacing w:val="-3"/>
          <w:sz w:val="16"/>
          <w:szCs w:val="16"/>
          <w:lang w:val="fr-FR"/>
        </w:rPr>
        <w:t>ROCKVILLE CENTRE</w:t>
      </w:r>
      <w:r w:rsidR="00250716" w:rsidRPr="00086471">
        <w:rPr>
          <w:b/>
          <w:spacing w:val="-3"/>
          <w:sz w:val="16"/>
          <w:szCs w:val="16"/>
          <w:lang w:val="fr-FR"/>
        </w:rPr>
        <w:t xml:space="preserve">, </w:t>
      </w:r>
      <w:r w:rsidRPr="00086471">
        <w:rPr>
          <w:b/>
          <w:spacing w:val="-3"/>
          <w:sz w:val="16"/>
          <w:szCs w:val="16"/>
          <w:lang w:val="fr-FR"/>
        </w:rPr>
        <w:t>Rockville Centre, New York</w:t>
      </w:r>
    </w:p>
    <w:p w14:paraId="397C3AE6" w14:textId="77777777" w:rsidR="002555AC" w:rsidRPr="00086471" w:rsidRDefault="002555AC" w:rsidP="002555AC">
      <w:pPr>
        <w:outlineLvl w:val="0"/>
        <w:rPr>
          <w:b/>
          <w:spacing w:val="-3"/>
          <w:sz w:val="16"/>
          <w:szCs w:val="16"/>
        </w:rPr>
      </w:pPr>
      <w:r w:rsidRPr="00086471">
        <w:rPr>
          <w:b/>
          <w:spacing w:val="-3"/>
          <w:sz w:val="16"/>
          <w:szCs w:val="16"/>
        </w:rPr>
        <w:t>J. Robert Schenone, Chairman</w:t>
      </w:r>
    </w:p>
    <w:p w14:paraId="20574631" w14:textId="4F2C7D3F" w:rsidR="00BA28A4" w:rsidRPr="00086471" w:rsidRDefault="00272165" w:rsidP="00272165">
      <w:pPr>
        <w:outlineLvl w:val="0"/>
        <w:rPr>
          <w:b/>
          <w:spacing w:val="-3"/>
          <w:sz w:val="16"/>
          <w:szCs w:val="16"/>
        </w:rPr>
      </w:pPr>
      <w:r w:rsidRPr="00086471">
        <w:rPr>
          <w:b/>
          <w:spacing w:val="-3"/>
          <w:sz w:val="16"/>
          <w:szCs w:val="16"/>
        </w:rPr>
        <w:t>Patrick D. O’Brien, Secretary</w:t>
      </w:r>
    </w:p>
    <w:p w14:paraId="2276F6CD" w14:textId="77777777" w:rsidR="002555AC" w:rsidRPr="00086471" w:rsidRDefault="002555AC" w:rsidP="002555AC">
      <w:pPr>
        <w:outlineLvl w:val="0"/>
        <w:rPr>
          <w:b/>
          <w:spacing w:val="-3"/>
          <w:sz w:val="16"/>
          <w:szCs w:val="16"/>
        </w:rPr>
      </w:pPr>
      <w:r w:rsidRPr="00086471">
        <w:rPr>
          <w:b/>
          <w:spacing w:val="-3"/>
          <w:sz w:val="16"/>
          <w:szCs w:val="16"/>
        </w:rPr>
        <w:t xml:space="preserve">Information and records for appeals cases </w:t>
      </w:r>
      <w:proofErr w:type="gramStart"/>
      <w:r w:rsidRPr="00086471">
        <w:rPr>
          <w:b/>
          <w:spacing w:val="-3"/>
          <w:sz w:val="16"/>
          <w:szCs w:val="16"/>
        </w:rPr>
        <w:t>are</w:t>
      </w:r>
      <w:proofErr w:type="gramEnd"/>
    </w:p>
    <w:p w14:paraId="48E6ECDD" w14:textId="77777777" w:rsidR="00250716" w:rsidRPr="00086471" w:rsidRDefault="002555AC" w:rsidP="00250716">
      <w:pPr>
        <w:rPr>
          <w:b/>
          <w:spacing w:val="-3"/>
          <w:sz w:val="16"/>
          <w:szCs w:val="16"/>
        </w:rPr>
      </w:pPr>
      <w:r w:rsidRPr="00086471">
        <w:rPr>
          <w:b/>
          <w:spacing w:val="-3"/>
          <w:sz w:val="16"/>
          <w:szCs w:val="16"/>
        </w:rPr>
        <w:t>available at the Office of the Secretary of the</w:t>
      </w:r>
      <w:r w:rsidR="00250716" w:rsidRPr="00086471">
        <w:rPr>
          <w:b/>
          <w:spacing w:val="-3"/>
          <w:sz w:val="16"/>
          <w:szCs w:val="16"/>
        </w:rPr>
        <w:t xml:space="preserve"> </w:t>
      </w:r>
    </w:p>
    <w:p w14:paraId="5E19C4AF" w14:textId="4D815517" w:rsidR="001055BD" w:rsidRPr="00086471" w:rsidRDefault="002555AC" w:rsidP="00250716">
      <w:pPr>
        <w:rPr>
          <w:b/>
          <w:spacing w:val="-3"/>
          <w:sz w:val="16"/>
          <w:szCs w:val="16"/>
        </w:rPr>
      </w:pPr>
      <w:r w:rsidRPr="00086471">
        <w:rPr>
          <w:b/>
          <w:spacing w:val="-3"/>
          <w:sz w:val="16"/>
          <w:szCs w:val="16"/>
        </w:rPr>
        <w:t>Board of Appeals, 110 Maple Avenue</w:t>
      </w:r>
      <w:r w:rsidR="00D73B28" w:rsidRPr="00086471">
        <w:rPr>
          <w:b/>
          <w:spacing w:val="-3"/>
          <w:sz w:val="16"/>
          <w:szCs w:val="16"/>
        </w:rPr>
        <w:t>, RVC, NY</w:t>
      </w:r>
    </w:p>
    <w:sectPr w:rsidR="001055BD" w:rsidRPr="00086471" w:rsidSect="001242D2">
      <w:pgSz w:w="12240" w:h="15840"/>
      <w:pgMar w:top="4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F8F3" w14:textId="77777777" w:rsidR="00BF02B8" w:rsidRDefault="00BF02B8" w:rsidP="00BF02B8">
      <w:r>
        <w:separator/>
      </w:r>
    </w:p>
  </w:endnote>
  <w:endnote w:type="continuationSeparator" w:id="0">
    <w:p w14:paraId="7D2A1C09" w14:textId="77777777"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44B8" w14:textId="77777777" w:rsidR="00BF02B8" w:rsidRDefault="00BF02B8" w:rsidP="00BF02B8">
      <w:r>
        <w:separator/>
      </w:r>
    </w:p>
  </w:footnote>
  <w:footnote w:type="continuationSeparator" w:id="0">
    <w:p w14:paraId="10A7FD0A" w14:textId="77777777" w:rsidR="00BF02B8" w:rsidRDefault="00BF02B8" w:rsidP="00BF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3280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AC"/>
    <w:rsid w:val="00000002"/>
    <w:rsid w:val="00001002"/>
    <w:rsid w:val="00001618"/>
    <w:rsid w:val="000051C6"/>
    <w:rsid w:val="0000729A"/>
    <w:rsid w:val="00015ACA"/>
    <w:rsid w:val="00016610"/>
    <w:rsid w:val="00031821"/>
    <w:rsid w:val="000370F4"/>
    <w:rsid w:val="00037A4D"/>
    <w:rsid w:val="00041899"/>
    <w:rsid w:val="00042FEA"/>
    <w:rsid w:val="00043693"/>
    <w:rsid w:val="0004502F"/>
    <w:rsid w:val="00045921"/>
    <w:rsid w:val="000475C2"/>
    <w:rsid w:val="00054D76"/>
    <w:rsid w:val="000604DB"/>
    <w:rsid w:val="00062B22"/>
    <w:rsid w:val="00065839"/>
    <w:rsid w:val="00076435"/>
    <w:rsid w:val="00080695"/>
    <w:rsid w:val="000840AD"/>
    <w:rsid w:val="00086471"/>
    <w:rsid w:val="00086F9B"/>
    <w:rsid w:val="0009226B"/>
    <w:rsid w:val="00093587"/>
    <w:rsid w:val="000939FA"/>
    <w:rsid w:val="00095E94"/>
    <w:rsid w:val="000A2314"/>
    <w:rsid w:val="000A6650"/>
    <w:rsid w:val="000B6B52"/>
    <w:rsid w:val="000C4D8A"/>
    <w:rsid w:val="000C6380"/>
    <w:rsid w:val="000D4C0F"/>
    <w:rsid w:val="000F0CC4"/>
    <w:rsid w:val="000F3C9C"/>
    <w:rsid w:val="001012C2"/>
    <w:rsid w:val="00103A6F"/>
    <w:rsid w:val="001055BD"/>
    <w:rsid w:val="00113FDB"/>
    <w:rsid w:val="00116276"/>
    <w:rsid w:val="00117084"/>
    <w:rsid w:val="00121608"/>
    <w:rsid w:val="0012253A"/>
    <w:rsid w:val="001242D2"/>
    <w:rsid w:val="0013788A"/>
    <w:rsid w:val="001463B0"/>
    <w:rsid w:val="00147406"/>
    <w:rsid w:val="001618DE"/>
    <w:rsid w:val="001650B9"/>
    <w:rsid w:val="00166530"/>
    <w:rsid w:val="001666C1"/>
    <w:rsid w:val="001675EA"/>
    <w:rsid w:val="00173A27"/>
    <w:rsid w:val="001745F5"/>
    <w:rsid w:val="00176ABD"/>
    <w:rsid w:val="00177F41"/>
    <w:rsid w:val="00187AC4"/>
    <w:rsid w:val="00197DED"/>
    <w:rsid w:val="001A4266"/>
    <w:rsid w:val="001A6081"/>
    <w:rsid w:val="001B3175"/>
    <w:rsid w:val="001B6B32"/>
    <w:rsid w:val="001C2263"/>
    <w:rsid w:val="001C620D"/>
    <w:rsid w:val="001C7D72"/>
    <w:rsid w:val="001D048F"/>
    <w:rsid w:val="001D079B"/>
    <w:rsid w:val="001D6CBF"/>
    <w:rsid w:val="001F268D"/>
    <w:rsid w:val="001F2B16"/>
    <w:rsid w:val="001F4C21"/>
    <w:rsid w:val="00201E48"/>
    <w:rsid w:val="002043A5"/>
    <w:rsid w:val="0020483A"/>
    <w:rsid w:val="00204DCD"/>
    <w:rsid w:val="002158E5"/>
    <w:rsid w:val="00225663"/>
    <w:rsid w:val="00227B88"/>
    <w:rsid w:val="002378B1"/>
    <w:rsid w:val="00240548"/>
    <w:rsid w:val="00241AB5"/>
    <w:rsid w:val="002440EB"/>
    <w:rsid w:val="00245FB8"/>
    <w:rsid w:val="0024665A"/>
    <w:rsid w:val="00250716"/>
    <w:rsid w:val="00251300"/>
    <w:rsid w:val="002528CF"/>
    <w:rsid w:val="002555AC"/>
    <w:rsid w:val="00266980"/>
    <w:rsid w:val="0026738D"/>
    <w:rsid w:val="002676E3"/>
    <w:rsid w:val="0027016B"/>
    <w:rsid w:val="00272165"/>
    <w:rsid w:val="00277C01"/>
    <w:rsid w:val="00286CEC"/>
    <w:rsid w:val="00287426"/>
    <w:rsid w:val="002958EB"/>
    <w:rsid w:val="002A1BCE"/>
    <w:rsid w:val="002A31D2"/>
    <w:rsid w:val="002B0769"/>
    <w:rsid w:val="002B3B36"/>
    <w:rsid w:val="002B546C"/>
    <w:rsid w:val="002B7C9C"/>
    <w:rsid w:val="002C42A3"/>
    <w:rsid w:val="002C62C5"/>
    <w:rsid w:val="002D7484"/>
    <w:rsid w:val="002E044A"/>
    <w:rsid w:val="002E214F"/>
    <w:rsid w:val="002E221B"/>
    <w:rsid w:val="002E670A"/>
    <w:rsid w:val="002E7DCF"/>
    <w:rsid w:val="002F4522"/>
    <w:rsid w:val="003017B3"/>
    <w:rsid w:val="00311C72"/>
    <w:rsid w:val="00316F3A"/>
    <w:rsid w:val="00322566"/>
    <w:rsid w:val="00324DE9"/>
    <w:rsid w:val="00330D87"/>
    <w:rsid w:val="0034222B"/>
    <w:rsid w:val="003436D9"/>
    <w:rsid w:val="00347BC0"/>
    <w:rsid w:val="0035113B"/>
    <w:rsid w:val="00351BD0"/>
    <w:rsid w:val="0035322B"/>
    <w:rsid w:val="003537AC"/>
    <w:rsid w:val="00353A18"/>
    <w:rsid w:val="00355000"/>
    <w:rsid w:val="0036204D"/>
    <w:rsid w:val="00362638"/>
    <w:rsid w:val="00370847"/>
    <w:rsid w:val="00372697"/>
    <w:rsid w:val="003822B9"/>
    <w:rsid w:val="00382FDB"/>
    <w:rsid w:val="00385E64"/>
    <w:rsid w:val="0038643B"/>
    <w:rsid w:val="003865B4"/>
    <w:rsid w:val="0039665D"/>
    <w:rsid w:val="003A7E01"/>
    <w:rsid w:val="003B63DD"/>
    <w:rsid w:val="003C5090"/>
    <w:rsid w:val="003D040C"/>
    <w:rsid w:val="003E264F"/>
    <w:rsid w:val="003E52C2"/>
    <w:rsid w:val="003F77A5"/>
    <w:rsid w:val="00403BCC"/>
    <w:rsid w:val="00407426"/>
    <w:rsid w:val="00410463"/>
    <w:rsid w:val="00411C53"/>
    <w:rsid w:val="00412C92"/>
    <w:rsid w:val="004160BE"/>
    <w:rsid w:val="00423206"/>
    <w:rsid w:val="00425395"/>
    <w:rsid w:val="004259CE"/>
    <w:rsid w:val="00425D35"/>
    <w:rsid w:val="00430313"/>
    <w:rsid w:val="00442B8C"/>
    <w:rsid w:val="00447E6F"/>
    <w:rsid w:val="0045242A"/>
    <w:rsid w:val="004656C4"/>
    <w:rsid w:val="00471080"/>
    <w:rsid w:val="00472755"/>
    <w:rsid w:val="00474D89"/>
    <w:rsid w:val="00480535"/>
    <w:rsid w:val="004824FB"/>
    <w:rsid w:val="0049214D"/>
    <w:rsid w:val="004946F5"/>
    <w:rsid w:val="00496D46"/>
    <w:rsid w:val="004A4509"/>
    <w:rsid w:val="004B4DC8"/>
    <w:rsid w:val="004C3D86"/>
    <w:rsid w:val="004C71EC"/>
    <w:rsid w:val="004D60F9"/>
    <w:rsid w:val="004D75B7"/>
    <w:rsid w:val="004E10D2"/>
    <w:rsid w:val="004E15B5"/>
    <w:rsid w:val="004E2080"/>
    <w:rsid w:val="004F3CA3"/>
    <w:rsid w:val="004F4037"/>
    <w:rsid w:val="004F4AE9"/>
    <w:rsid w:val="004F6960"/>
    <w:rsid w:val="00505649"/>
    <w:rsid w:val="005108C6"/>
    <w:rsid w:val="00510C77"/>
    <w:rsid w:val="00513F3E"/>
    <w:rsid w:val="00524FAD"/>
    <w:rsid w:val="00533C53"/>
    <w:rsid w:val="00533FB5"/>
    <w:rsid w:val="005371E8"/>
    <w:rsid w:val="00547AC3"/>
    <w:rsid w:val="00551486"/>
    <w:rsid w:val="00563A4C"/>
    <w:rsid w:val="005722D4"/>
    <w:rsid w:val="00576CC7"/>
    <w:rsid w:val="0057749D"/>
    <w:rsid w:val="0058493E"/>
    <w:rsid w:val="00590233"/>
    <w:rsid w:val="0059319F"/>
    <w:rsid w:val="005A0083"/>
    <w:rsid w:val="005C0F15"/>
    <w:rsid w:val="005C1A3A"/>
    <w:rsid w:val="005C1B66"/>
    <w:rsid w:val="005C7532"/>
    <w:rsid w:val="005C7E7A"/>
    <w:rsid w:val="005D5C8D"/>
    <w:rsid w:val="005E3E59"/>
    <w:rsid w:val="005E4276"/>
    <w:rsid w:val="005E58DA"/>
    <w:rsid w:val="005F0007"/>
    <w:rsid w:val="005F2DE0"/>
    <w:rsid w:val="005F47A5"/>
    <w:rsid w:val="005F6F93"/>
    <w:rsid w:val="006044C4"/>
    <w:rsid w:val="00605180"/>
    <w:rsid w:val="00605CB3"/>
    <w:rsid w:val="00611C5D"/>
    <w:rsid w:val="006152E5"/>
    <w:rsid w:val="006160EA"/>
    <w:rsid w:val="00617ADA"/>
    <w:rsid w:val="00632BD5"/>
    <w:rsid w:val="0063529B"/>
    <w:rsid w:val="00640C48"/>
    <w:rsid w:val="00641F7B"/>
    <w:rsid w:val="00647230"/>
    <w:rsid w:val="00652786"/>
    <w:rsid w:val="00652E0B"/>
    <w:rsid w:val="006535FE"/>
    <w:rsid w:val="00653F7B"/>
    <w:rsid w:val="00660287"/>
    <w:rsid w:val="006620F9"/>
    <w:rsid w:val="006646E4"/>
    <w:rsid w:val="0067695B"/>
    <w:rsid w:val="00677963"/>
    <w:rsid w:val="006913DB"/>
    <w:rsid w:val="00693833"/>
    <w:rsid w:val="00697695"/>
    <w:rsid w:val="006A01FF"/>
    <w:rsid w:val="006A1593"/>
    <w:rsid w:val="006A771A"/>
    <w:rsid w:val="006B35F3"/>
    <w:rsid w:val="006C1B25"/>
    <w:rsid w:val="006C387B"/>
    <w:rsid w:val="006C5244"/>
    <w:rsid w:val="006C74D3"/>
    <w:rsid w:val="006D1578"/>
    <w:rsid w:val="006D229C"/>
    <w:rsid w:val="006D4930"/>
    <w:rsid w:val="006D4A44"/>
    <w:rsid w:val="006D543E"/>
    <w:rsid w:val="006F11F3"/>
    <w:rsid w:val="006F1F03"/>
    <w:rsid w:val="006F3FA9"/>
    <w:rsid w:val="006F4753"/>
    <w:rsid w:val="006F5C48"/>
    <w:rsid w:val="006F755A"/>
    <w:rsid w:val="00705B85"/>
    <w:rsid w:val="00716DB4"/>
    <w:rsid w:val="00717FAD"/>
    <w:rsid w:val="00727A92"/>
    <w:rsid w:val="00737F2F"/>
    <w:rsid w:val="00740306"/>
    <w:rsid w:val="007412EB"/>
    <w:rsid w:val="00742277"/>
    <w:rsid w:val="0074462E"/>
    <w:rsid w:val="00755230"/>
    <w:rsid w:val="007601A0"/>
    <w:rsid w:val="00764223"/>
    <w:rsid w:val="0076424A"/>
    <w:rsid w:val="00770044"/>
    <w:rsid w:val="00770505"/>
    <w:rsid w:val="007709B6"/>
    <w:rsid w:val="00770A47"/>
    <w:rsid w:val="00773F59"/>
    <w:rsid w:val="00775F6B"/>
    <w:rsid w:val="007849F4"/>
    <w:rsid w:val="00790B6F"/>
    <w:rsid w:val="00792C6B"/>
    <w:rsid w:val="007A1A3A"/>
    <w:rsid w:val="007B6B08"/>
    <w:rsid w:val="007C2B14"/>
    <w:rsid w:val="007C38D1"/>
    <w:rsid w:val="007C6579"/>
    <w:rsid w:val="007E40A1"/>
    <w:rsid w:val="007E46DA"/>
    <w:rsid w:val="007E4832"/>
    <w:rsid w:val="007E7B1D"/>
    <w:rsid w:val="007F4819"/>
    <w:rsid w:val="007F5CFD"/>
    <w:rsid w:val="00800C82"/>
    <w:rsid w:val="0080118B"/>
    <w:rsid w:val="0080162A"/>
    <w:rsid w:val="00804884"/>
    <w:rsid w:val="00805361"/>
    <w:rsid w:val="00815071"/>
    <w:rsid w:val="00822968"/>
    <w:rsid w:val="00825581"/>
    <w:rsid w:val="00833E48"/>
    <w:rsid w:val="00836257"/>
    <w:rsid w:val="00836AB7"/>
    <w:rsid w:val="00836DFD"/>
    <w:rsid w:val="008371CC"/>
    <w:rsid w:val="0083726E"/>
    <w:rsid w:val="00840276"/>
    <w:rsid w:val="00845A45"/>
    <w:rsid w:val="0085049D"/>
    <w:rsid w:val="008521AE"/>
    <w:rsid w:val="00853979"/>
    <w:rsid w:val="008558C0"/>
    <w:rsid w:val="008615D3"/>
    <w:rsid w:val="00863495"/>
    <w:rsid w:val="0086455C"/>
    <w:rsid w:val="00871F40"/>
    <w:rsid w:val="00890D79"/>
    <w:rsid w:val="00893B3B"/>
    <w:rsid w:val="00893D1C"/>
    <w:rsid w:val="008A46D9"/>
    <w:rsid w:val="008A4814"/>
    <w:rsid w:val="008B602D"/>
    <w:rsid w:val="008B6D1E"/>
    <w:rsid w:val="008C4072"/>
    <w:rsid w:val="008C6DBA"/>
    <w:rsid w:val="008C718B"/>
    <w:rsid w:val="008D244F"/>
    <w:rsid w:val="008D62C2"/>
    <w:rsid w:val="008D6A22"/>
    <w:rsid w:val="008E0562"/>
    <w:rsid w:val="008E119D"/>
    <w:rsid w:val="008F07B7"/>
    <w:rsid w:val="008F60F8"/>
    <w:rsid w:val="00900305"/>
    <w:rsid w:val="00903F43"/>
    <w:rsid w:val="00904BE6"/>
    <w:rsid w:val="00922CF1"/>
    <w:rsid w:val="009249C6"/>
    <w:rsid w:val="0092568A"/>
    <w:rsid w:val="009268B4"/>
    <w:rsid w:val="00933D23"/>
    <w:rsid w:val="009369C3"/>
    <w:rsid w:val="0094408D"/>
    <w:rsid w:val="0094627C"/>
    <w:rsid w:val="009516C0"/>
    <w:rsid w:val="00951EA4"/>
    <w:rsid w:val="00957382"/>
    <w:rsid w:val="00960EEE"/>
    <w:rsid w:val="009674FA"/>
    <w:rsid w:val="00973B46"/>
    <w:rsid w:val="00975CA7"/>
    <w:rsid w:val="00975E83"/>
    <w:rsid w:val="00977DCA"/>
    <w:rsid w:val="00980465"/>
    <w:rsid w:val="009872E1"/>
    <w:rsid w:val="009877F3"/>
    <w:rsid w:val="009917B4"/>
    <w:rsid w:val="0099423F"/>
    <w:rsid w:val="00995D21"/>
    <w:rsid w:val="00995D60"/>
    <w:rsid w:val="009A28B6"/>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2F63"/>
    <w:rsid w:val="00A4317A"/>
    <w:rsid w:val="00A431C1"/>
    <w:rsid w:val="00A449D7"/>
    <w:rsid w:val="00A50CCB"/>
    <w:rsid w:val="00A5247C"/>
    <w:rsid w:val="00A540BA"/>
    <w:rsid w:val="00A55EA4"/>
    <w:rsid w:val="00A62E3C"/>
    <w:rsid w:val="00A72DEB"/>
    <w:rsid w:val="00A85E83"/>
    <w:rsid w:val="00A9216B"/>
    <w:rsid w:val="00A95E48"/>
    <w:rsid w:val="00A96126"/>
    <w:rsid w:val="00A975BC"/>
    <w:rsid w:val="00AA1ADA"/>
    <w:rsid w:val="00AA7D4C"/>
    <w:rsid w:val="00AB3C11"/>
    <w:rsid w:val="00AC1F13"/>
    <w:rsid w:val="00AC3432"/>
    <w:rsid w:val="00AC4E73"/>
    <w:rsid w:val="00AC7111"/>
    <w:rsid w:val="00AD609C"/>
    <w:rsid w:val="00AE222E"/>
    <w:rsid w:val="00AE586F"/>
    <w:rsid w:val="00AF5171"/>
    <w:rsid w:val="00AF5FDE"/>
    <w:rsid w:val="00B004DF"/>
    <w:rsid w:val="00B02B37"/>
    <w:rsid w:val="00B049D3"/>
    <w:rsid w:val="00B16B1F"/>
    <w:rsid w:val="00B25B41"/>
    <w:rsid w:val="00B27CDA"/>
    <w:rsid w:val="00B27E14"/>
    <w:rsid w:val="00B40306"/>
    <w:rsid w:val="00B47662"/>
    <w:rsid w:val="00B50AB8"/>
    <w:rsid w:val="00B536DC"/>
    <w:rsid w:val="00B662C6"/>
    <w:rsid w:val="00B70BEB"/>
    <w:rsid w:val="00B71925"/>
    <w:rsid w:val="00BA28A4"/>
    <w:rsid w:val="00BA33F9"/>
    <w:rsid w:val="00BA7489"/>
    <w:rsid w:val="00BB0906"/>
    <w:rsid w:val="00BC55DF"/>
    <w:rsid w:val="00BC6694"/>
    <w:rsid w:val="00BC745D"/>
    <w:rsid w:val="00BC792E"/>
    <w:rsid w:val="00BD50D8"/>
    <w:rsid w:val="00BD59B1"/>
    <w:rsid w:val="00BE685B"/>
    <w:rsid w:val="00BE7582"/>
    <w:rsid w:val="00BF0125"/>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2A4C"/>
    <w:rsid w:val="00C543C8"/>
    <w:rsid w:val="00C60EF3"/>
    <w:rsid w:val="00C6195C"/>
    <w:rsid w:val="00C624BA"/>
    <w:rsid w:val="00C62F38"/>
    <w:rsid w:val="00C65411"/>
    <w:rsid w:val="00C741DA"/>
    <w:rsid w:val="00C8673D"/>
    <w:rsid w:val="00C93FB2"/>
    <w:rsid w:val="00C97E90"/>
    <w:rsid w:val="00CA1AAE"/>
    <w:rsid w:val="00CA5742"/>
    <w:rsid w:val="00CA589B"/>
    <w:rsid w:val="00CB2F8E"/>
    <w:rsid w:val="00CC60CC"/>
    <w:rsid w:val="00CD15F4"/>
    <w:rsid w:val="00CD6113"/>
    <w:rsid w:val="00CD678C"/>
    <w:rsid w:val="00CE292B"/>
    <w:rsid w:val="00CE77DD"/>
    <w:rsid w:val="00CF2A4C"/>
    <w:rsid w:val="00CF3780"/>
    <w:rsid w:val="00CF4E1C"/>
    <w:rsid w:val="00CF78DB"/>
    <w:rsid w:val="00CF7C35"/>
    <w:rsid w:val="00D0277A"/>
    <w:rsid w:val="00D0444A"/>
    <w:rsid w:val="00D058AC"/>
    <w:rsid w:val="00D0637F"/>
    <w:rsid w:val="00D06909"/>
    <w:rsid w:val="00D16E6F"/>
    <w:rsid w:val="00D178D4"/>
    <w:rsid w:val="00D22870"/>
    <w:rsid w:val="00D315CF"/>
    <w:rsid w:val="00D343D2"/>
    <w:rsid w:val="00D36D80"/>
    <w:rsid w:val="00D37864"/>
    <w:rsid w:val="00D422EC"/>
    <w:rsid w:val="00D45243"/>
    <w:rsid w:val="00D53B0E"/>
    <w:rsid w:val="00D5427C"/>
    <w:rsid w:val="00D60E99"/>
    <w:rsid w:val="00D6740C"/>
    <w:rsid w:val="00D70FEC"/>
    <w:rsid w:val="00D721EB"/>
    <w:rsid w:val="00D73B28"/>
    <w:rsid w:val="00D73F61"/>
    <w:rsid w:val="00D775E2"/>
    <w:rsid w:val="00D77D8E"/>
    <w:rsid w:val="00D806BF"/>
    <w:rsid w:val="00D84B79"/>
    <w:rsid w:val="00D84C44"/>
    <w:rsid w:val="00D97D10"/>
    <w:rsid w:val="00DA4117"/>
    <w:rsid w:val="00DB206F"/>
    <w:rsid w:val="00DB2162"/>
    <w:rsid w:val="00DB7C5E"/>
    <w:rsid w:val="00DC2807"/>
    <w:rsid w:val="00DC41D0"/>
    <w:rsid w:val="00DD0903"/>
    <w:rsid w:val="00DD1BF5"/>
    <w:rsid w:val="00DD45D6"/>
    <w:rsid w:val="00DE0EB9"/>
    <w:rsid w:val="00DE2EA0"/>
    <w:rsid w:val="00DE6A06"/>
    <w:rsid w:val="00DF0E16"/>
    <w:rsid w:val="00DF4FDE"/>
    <w:rsid w:val="00DF6605"/>
    <w:rsid w:val="00E00D5E"/>
    <w:rsid w:val="00E0150F"/>
    <w:rsid w:val="00E044C5"/>
    <w:rsid w:val="00E0493D"/>
    <w:rsid w:val="00E04CCB"/>
    <w:rsid w:val="00E073AE"/>
    <w:rsid w:val="00E11C45"/>
    <w:rsid w:val="00E1526B"/>
    <w:rsid w:val="00E205EC"/>
    <w:rsid w:val="00E2722D"/>
    <w:rsid w:val="00E449AC"/>
    <w:rsid w:val="00E47042"/>
    <w:rsid w:val="00E52FB6"/>
    <w:rsid w:val="00E6631C"/>
    <w:rsid w:val="00E674A8"/>
    <w:rsid w:val="00E731EF"/>
    <w:rsid w:val="00E73C36"/>
    <w:rsid w:val="00E77BE5"/>
    <w:rsid w:val="00E83487"/>
    <w:rsid w:val="00E84FBB"/>
    <w:rsid w:val="00E96B03"/>
    <w:rsid w:val="00E97758"/>
    <w:rsid w:val="00EA118E"/>
    <w:rsid w:val="00EA5CB4"/>
    <w:rsid w:val="00EB0065"/>
    <w:rsid w:val="00EB1FE6"/>
    <w:rsid w:val="00EB2424"/>
    <w:rsid w:val="00EB58E2"/>
    <w:rsid w:val="00EC1982"/>
    <w:rsid w:val="00EC7B51"/>
    <w:rsid w:val="00ED6FA3"/>
    <w:rsid w:val="00ED760D"/>
    <w:rsid w:val="00EE02C8"/>
    <w:rsid w:val="00EE0D89"/>
    <w:rsid w:val="00EE31E7"/>
    <w:rsid w:val="00EF0D0F"/>
    <w:rsid w:val="00EF1CF5"/>
    <w:rsid w:val="00EF5F2F"/>
    <w:rsid w:val="00F14A26"/>
    <w:rsid w:val="00F17797"/>
    <w:rsid w:val="00F2248D"/>
    <w:rsid w:val="00F225E3"/>
    <w:rsid w:val="00F231A7"/>
    <w:rsid w:val="00F23A90"/>
    <w:rsid w:val="00F26245"/>
    <w:rsid w:val="00F3577E"/>
    <w:rsid w:val="00F419F5"/>
    <w:rsid w:val="00F4328E"/>
    <w:rsid w:val="00F4703C"/>
    <w:rsid w:val="00F47DD6"/>
    <w:rsid w:val="00F54821"/>
    <w:rsid w:val="00F55C4A"/>
    <w:rsid w:val="00F55F33"/>
    <w:rsid w:val="00F56025"/>
    <w:rsid w:val="00F56174"/>
    <w:rsid w:val="00F61F18"/>
    <w:rsid w:val="00F62693"/>
    <w:rsid w:val="00F63F1D"/>
    <w:rsid w:val="00F73216"/>
    <w:rsid w:val="00F74E89"/>
    <w:rsid w:val="00F75A39"/>
    <w:rsid w:val="00F81D61"/>
    <w:rsid w:val="00F84128"/>
    <w:rsid w:val="00F8701F"/>
    <w:rsid w:val="00F960AE"/>
    <w:rsid w:val="00FA163E"/>
    <w:rsid w:val="00FB1932"/>
    <w:rsid w:val="00FB4A45"/>
    <w:rsid w:val="00FC0121"/>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AF18"/>
  <w15:docId w15:val="{C98EC5C3-8985-43F2-B31D-7CF3A540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 w:type="paragraph" w:styleId="NoSpacing">
    <w:name w:val="No Spacing"/>
    <w:uiPriority w:val="1"/>
    <w:qFormat/>
    <w:rsid w:val="004C3D86"/>
    <w:pPr>
      <w:spacing w:after="0" w:line="240" w:lineRule="auto"/>
    </w:pPr>
  </w:style>
  <w:style w:type="paragraph" w:customStyle="1" w:styleId="xmsonormal">
    <w:name w:val="x_msonormal"/>
    <w:basedOn w:val="Normal"/>
    <w:rsid w:val="001242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19">
      <w:bodyDiv w:val="1"/>
      <w:marLeft w:val="0"/>
      <w:marRight w:val="0"/>
      <w:marTop w:val="0"/>
      <w:marBottom w:val="0"/>
      <w:divBdr>
        <w:top w:val="none" w:sz="0" w:space="0" w:color="auto"/>
        <w:left w:val="none" w:sz="0" w:space="0" w:color="auto"/>
        <w:bottom w:val="none" w:sz="0" w:space="0" w:color="auto"/>
        <w:right w:val="none" w:sz="0" w:space="0" w:color="auto"/>
      </w:divBdr>
    </w:div>
    <w:div w:id="82146977">
      <w:bodyDiv w:val="1"/>
      <w:marLeft w:val="0"/>
      <w:marRight w:val="0"/>
      <w:marTop w:val="0"/>
      <w:marBottom w:val="0"/>
      <w:divBdr>
        <w:top w:val="none" w:sz="0" w:space="0" w:color="auto"/>
        <w:left w:val="none" w:sz="0" w:space="0" w:color="auto"/>
        <w:bottom w:val="none" w:sz="0" w:space="0" w:color="auto"/>
        <w:right w:val="none" w:sz="0" w:space="0" w:color="auto"/>
      </w:divBdr>
    </w:div>
    <w:div w:id="195049243">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34710909">
      <w:bodyDiv w:val="1"/>
      <w:marLeft w:val="0"/>
      <w:marRight w:val="0"/>
      <w:marTop w:val="0"/>
      <w:marBottom w:val="0"/>
      <w:divBdr>
        <w:top w:val="none" w:sz="0" w:space="0" w:color="auto"/>
        <w:left w:val="none" w:sz="0" w:space="0" w:color="auto"/>
        <w:bottom w:val="none" w:sz="0" w:space="0" w:color="auto"/>
        <w:right w:val="none" w:sz="0" w:space="0" w:color="auto"/>
      </w:divBdr>
    </w:div>
    <w:div w:id="277641228">
      <w:bodyDiv w:val="1"/>
      <w:marLeft w:val="0"/>
      <w:marRight w:val="0"/>
      <w:marTop w:val="0"/>
      <w:marBottom w:val="0"/>
      <w:divBdr>
        <w:top w:val="none" w:sz="0" w:space="0" w:color="auto"/>
        <w:left w:val="none" w:sz="0" w:space="0" w:color="auto"/>
        <w:bottom w:val="none" w:sz="0" w:space="0" w:color="auto"/>
        <w:right w:val="none" w:sz="0" w:space="0" w:color="auto"/>
      </w:divBdr>
    </w:div>
    <w:div w:id="287319923">
      <w:bodyDiv w:val="1"/>
      <w:marLeft w:val="0"/>
      <w:marRight w:val="0"/>
      <w:marTop w:val="0"/>
      <w:marBottom w:val="0"/>
      <w:divBdr>
        <w:top w:val="none" w:sz="0" w:space="0" w:color="auto"/>
        <w:left w:val="none" w:sz="0" w:space="0" w:color="auto"/>
        <w:bottom w:val="none" w:sz="0" w:space="0" w:color="auto"/>
        <w:right w:val="none" w:sz="0" w:space="0" w:color="auto"/>
      </w:divBdr>
    </w:div>
    <w:div w:id="290944363">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632296534">
      <w:bodyDiv w:val="1"/>
      <w:marLeft w:val="0"/>
      <w:marRight w:val="0"/>
      <w:marTop w:val="0"/>
      <w:marBottom w:val="0"/>
      <w:divBdr>
        <w:top w:val="none" w:sz="0" w:space="0" w:color="auto"/>
        <w:left w:val="none" w:sz="0" w:space="0" w:color="auto"/>
        <w:bottom w:val="none" w:sz="0" w:space="0" w:color="auto"/>
        <w:right w:val="none" w:sz="0" w:space="0" w:color="auto"/>
      </w:divBdr>
    </w:div>
    <w:div w:id="731851894">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389913715">
      <w:bodyDiv w:val="1"/>
      <w:marLeft w:val="0"/>
      <w:marRight w:val="0"/>
      <w:marTop w:val="0"/>
      <w:marBottom w:val="0"/>
      <w:divBdr>
        <w:top w:val="none" w:sz="0" w:space="0" w:color="auto"/>
        <w:left w:val="none" w:sz="0" w:space="0" w:color="auto"/>
        <w:bottom w:val="none" w:sz="0" w:space="0" w:color="auto"/>
        <w:right w:val="none" w:sz="0" w:space="0" w:color="auto"/>
      </w:divBdr>
    </w:div>
    <w:div w:id="1491096843">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883709214">
      <w:bodyDiv w:val="1"/>
      <w:marLeft w:val="0"/>
      <w:marRight w:val="0"/>
      <w:marTop w:val="0"/>
      <w:marBottom w:val="0"/>
      <w:divBdr>
        <w:top w:val="none" w:sz="0" w:space="0" w:color="auto"/>
        <w:left w:val="none" w:sz="0" w:space="0" w:color="auto"/>
        <w:bottom w:val="none" w:sz="0" w:space="0" w:color="auto"/>
        <w:right w:val="none" w:sz="0" w:space="0" w:color="auto"/>
      </w:divBdr>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Janine</dc:creator>
  <cp:keywords/>
  <dc:description/>
  <cp:lastModifiedBy>Gooch, John</cp:lastModifiedBy>
  <cp:revision>2</cp:revision>
  <cp:lastPrinted>2024-01-29T14:35:00Z</cp:lastPrinted>
  <dcterms:created xsi:type="dcterms:W3CDTF">2024-02-23T16:36:00Z</dcterms:created>
  <dcterms:modified xsi:type="dcterms:W3CDTF">2024-02-23T16:36:00Z</dcterms:modified>
</cp:coreProperties>
</file>